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DB04C" w14:textId="77777777" w:rsidR="008E483B" w:rsidRPr="00071007" w:rsidRDefault="008E483B" w:rsidP="008E483B">
      <w:pPr>
        <w:spacing w:after="0" w:line="240" w:lineRule="auto"/>
        <w:contextualSpacing/>
        <w:rPr>
          <w:rFonts w:ascii="Times New Roman" w:hAnsi="Times New Roman" w:cs="Times New Roman"/>
          <w:sz w:val="16"/>
          <w:szCs w:val="16"/>
        </w:rPr>
      </w:pPr>
      <w:r w:rsidRPr="00071007">
        <w:rPr>
          <w:rFonts w:ascii="Times New Roman" w:hAnsi="Times New Roman" w:cs="Times New Roman"/>
          <w:sz w:val="16"/>
          <w:szCs w:val="16"/>
        </w:rPr>
        <w:t>Howard G. Brown</w:t>
      </w:r>
    </w:p>
    <w:p w14:paraId="21A13BB0" w14:textId="77777777" w:rsidR="008E483B" w:rsidRPr="00071007" w:rsidRDefault="008E483B" w:rsidP="008E483B">
      <w:pPr>
        <w:spacing w:after="0" w:line="240" w:lineRule="auto"/>
        <w:contextualSpacing/>
        <w:rPr>
          <w:rFonts w:ascii="Times New Roman" w:hAnsi="Times New Roman" w:cs="Times New Roman"/>
          <w:sz w:val="16"/>
          <w:szCs w:val="16"/>
        </w:rPr>
      </w:pPr>
      <w:r w:rsidRPr="00071007">
        <w:rPr>
          <w:rFonts w:ascii="Times New Roman" w:hAnsi="Times New Roman" w:cs="Times New Roman"/>
          <w:sz w:val="16"/>
          <w:szCs w:val="16"/>
        </w:rPr>
        <w:t>1344 Lakeridge Drive</w:t>
      </w:r>
    </w:p>
    <w:p w14:paraId="417B8DE1" w14:textId="77777777" w:rsidR="008E483B" w:rsidRPr="00071007" w:rsidRDefault="008E483B" w:rsidP="008E483B">
      <w:pPr>
        <w:spacing w:after="0" w:line="240" w:lineRule="auto"/>
        <w:contextualSpacing/>
        <w:rPr>
          <w:rFonts w:ascii="Times New Roman" w:hAnsi="Times New Roman" w:cs="Times New Roman"/>
          <w:sz w:val="16"/>
          <w:szCs w:val="16"/>
        </w:rPr>
      </w:pPr>
      <w:r w:rsidRPr="00071007">
        <w:rPr>
          <w:rFonts w:ascii="Times New Roman" w:hAnsi="Times New Roman" w:cs="Times New Roman"/>
          <w:sz w:val="16"/>
          <w:szCs w:val="16"/>
        </w:rPr>
        <w:t>Baton Rouge, LA 70802</w:t>
      </w:r>
    </w:p>
    <w:p w14:paraId="3BFEBA65" w14:textId="77777777" w:rsidR="008E483B" w:rsidRPr="00071007" w:rsidRDefault="008E483B" w:rsidP="008E483B">
      <w:pPr>
        <w:spacing w:after="0" w:line="240" w:lineRule="auto"/>
        <w:contextualSpacing/>
        <w:rPr>
          <w:rFonts w:ascii="Times New Roman" w:hAnsi="Times New Roman" w:cs="Times New Roman"/>
          <w:sz w:val="16"/>
          <w:szCs w:val="16"/>
        </w:rPr>
      </w:pPr>
      <w:r w:rsidRPr="00071007">
        <w:rPr>
          <w:rFonts w:ascii="Times New Roman" w:hAnsi="Times New Roman" w:cs="Times New Roman"/>
          <w:sz w:val="16"/>
          <w:szCs w:val="16"/>
        </w:rPr>
        <w:t>Phone: (504) 756-1987</w:t>
      </w:r>
    </w:p>
    <w:p w14:paraId="36417D5F" w14:textId="77777777" w:rsidR="008E483B" w:rsidRPr="00071007" w:rsidRDefault="008E483B" w:rsidP="008E483B">
      <w:pPr>
        <w:spacing w:after="0" w:line="240" w:lineRule="auto"/>
        <w:contextualSpacing/>
        <w:rPr>
          <w:rFonts w:ascii="Times New Roman" w:hAnsi="Times New Roman" w:cs="Times New Roman"/>
          <w:sz w:val="16"/>
          <w:szCs w:val="16"/>
        </w:rPr>
      </w:pPr>
      <w:r w:rsidRPr="00071007">
        <w:rPr>
          <w:rFonts w:ascii="Times New Roman" w:hAnsi="Times New Roman" w:cs="Times New Roman"/>
          <w:sz w:val="16"/>
          <w:szCs w:val="16"/>
        </w:rPr>
        <w:t>Fax: (985) 238-3818</w:t>
      </w:r>
    </w:p>
    <w:p w14:paraId="097386B3" w14:textId="77777777" w:rsidR="008E483B" w:rsidRPr="00071007" w:rsidRDefault="008E483B" w:rsidP="008E483B">
      <w:pPr>
        <w:spacing w:line="240" w:lineRule="auto"/>
        <w:rPr>
          <w:rFonts w:ascii="Times New Roman" w:hAnsi="Times New Roman" w:cs="Times New Roman"/>
          <w:b/>
          <w:bCs/>
          <w:sz w:val="24"/>
          <w:szCs w:val="24"/>
        </w:rPr>
      </w:pPr>
    </w:p>
    <w:p w14:paraId="300324B2" w14:textId="77777777" w:rsidR="008E483B" w:rsidRPr="00634FC6" w:rsidRDefault="008E483B" w:rsidP="008E483B">
      <w:pPr>
        <w:jc w:val="center"/>
        <w:rPr>
          <w:rFonts w:ascii="Times New Roman" w:hAnsi="Times New Roman" w:cs="Times New Roman"/>
          <w:b/>
          <w:bCs/>
          <w:sz w:val="28"/>
          <w:szCs w:val="28"/>
        </w:rPr>
      </w:pPr>
      <w:r w:rsidRPr="00634FC6">
        <w:rPr>
          <w:rFonts w:ascii="Times New Roman" w:hAnsi="Times New Roman" w:cs="Times New Roman"/>
          <w:b/>
          <w:bCs/>
          <w:sz w:val="28"/>
          <w:szCs w:val="28"/>
        </w:rPr>
        <w:t xml:space="preserve">IN THE UNITED STATES DISTRICT COURT FOR THE </w:t>
      </w:r>
      <w:r>
        <w:rPr>
          <w:rFonts w:ascii="Times New Roman" w:hAnsi="Times New Roman" w:cs="Times New Roman"/>
          <w:b/>
          <w:bCs/>
          <w:sz w:val="28"/>
          <w:szCs w:val="28"/>
        </w:rPr>
        <w:t>MIDDLE DISTRICT OF LOUISIANA</w:t>
      </w:r>
    </w:p>
    <w:p w14:paraId="03A385D4" w14:textId="77777777" w:rsidR="008E483B" w:rsidRPr="00634FC6" w:rsidRDefault="008E483B" w:rsidP="008E483B">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HOWARD BROWN,</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p>
    <w:p w14:paraId="3351BC3B" w14:textId="77777777" w:rsidR="008E483B" w:rsidRPr="00634FC6" w:rsidRDefault="008E483B" w:rsidP="008E483B">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Plaintiff,</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61AEEF56" w14:textId="77777777" w:rsidR="008E483B" w:rsidRPr="00634FC6" w:rsidRDefault="008E483B" w:rsidP="008E483B">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V.</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r w:rsidRPr="00634FC6">
        <w:rPr>
          <w:rFonts w:ascii="Times New Roman" w:hAnsi="Times New Roman" w:cs="Times New Roman"/>
          <w:b/>
          <w:bCs/>
          <w:sz w:val="24"/>
          <w:szCs w:val="24"/>
        </w:rPr>
        <w:tab/>
        <w:t>Case No. 3:22-</w:t>
      </w:r>
      <w:r>
        <w:rPr>
          <w:rFonts w:ascii="Times New Roman" w:hAnsi="Times New Roman" w:cs="Times New Roman"/>
          <w:b/>
          <w:bCs/>
          <w:sz w:val="24"/>
          <w:szCs w:val="24"/>
        </w:rPr>
        <w:t>CV</w:t>
      </w:r>
      <w:r w:rsidRPr="00634FC6">
        <w:rPr>
          <w:rFonts w:ascii="Times New Roman" w:hAnsi="Times New Roman" w:cs="Times New Roman"/>
          <w:b/>
          <w:bCs/>
          <w:sz w:val="24"/>
          <w:szCs w:val="24"/>
        </w:rPr>
        <w:t>-002</w:t>
      </w:r>
      <w:r>
        <w:rPr>
          <w:rFonts w:ascii="Times New Roman" w:hAnsi="Times New Roman" w:cs="Times New Roman"/>
          <w:b/>
          <w:bCs/>
          <w:sz w:val="24"/>
          <w:szCs w:val="24"/>
        </w:rPr>
        <w:t>64</w:t>
      </w:r>
      <w:r w:rsidRPr="00634FC6">
        <w:rPr>
          <w:rFonts w:ascii="Times New Roman" w:hAnsi="Times New Roman" w:cs="Times New Roman"/>
          <w:b/>
          <w:bCs/>
          <w:sz w:val="24"/>
          <w:szCs w:val="24"/>
        </w:rPr>
        <w:t>-</w:t>
      </w:r>
      <w:r>
        <w:rPr>
          <w:rFonts w:ascii="Times New Roman" w:hAnsi="Times New Roman" w:cs="Times New Roman"/>
          <w:b/>
          <w:bCs/>
          <w:sz w:val="24"/>
          <w:szCs w:val="24"/>
        </w:rPr>
        <w:t>SDD</w:t>
      </w:r>
      <w:r w:rsidRPr="00634FC6">
        <w:rPr>
          <w:rFonts w:ascii="Times New Roman" w:hAnsi="Times New Roman" w:cs="Times New Roman"/>
          <w:b/>
          <w:bCs/>
          <w:sz w:val="24"/>
          <w:szCs w:val="24"/>
        </w:rPr>
        <w:t>-</w:t>
      </w:r>
      <w:r>
        <w:rPr>
          <w:rFonts w:ascii="Times New Roman" w:hAnsi="Times New Roman" w:cs="Times New Roman"/>
          <w:b/>
          <w:bCs/>
          <w:sz w:val="24"/>
          <w:szCs w:val="24"/>
        </w:rPr>
        <w:t>RLB</w:t>
      </w:r>
    </w:p>
    <w:p w14:paraId="0F209029" w14:textId="77777777" w:rsidR="008E483B" w:rsidRPr="00634FC6" w:rsidRDefault="008E483B" w:rsidP="008E483B">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CITY OF CENTRAL</w:t>
      </w:r>
      <w:r w:rsidRPr="00634FC6">
        <w:rPr>
          <w:rFonts w:ascii="Times New Roman" w:hAnsi="Times New Roman" w:cs="Times New Roman"/>
          <w:b/>
          <w:bCs/>
          <w:sz w:val="24"/>
          <w:szCs w:val="24"/>
        </w:rPr>
        <w:t>,</w:t>
      </w:r>
      <w:r>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6F47272B" w14:textId="77777777" w:rsidR="008E483B" w:rsidRPr="00634FC6" w:rsidRDefault="008E483B" w:rsidP="008E483B">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ET AL.,</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17B69841" w14:textId="77777777" w:rsidR="008E483B" w:rsidRDefault="008E483B" w:rsidP="008E483B">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Defendants.</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52FBC45D" w14:textId="77777777" w:rsidR="008E483B" w:rsidRDefault="008E483B" w:rsidP="008E483B">
      <w:pPr>
        <w:tabs>
          <w:tab w:val="left" w:pos="2415"/>
          <w:tab w:val="center" w:pos="4680"/>
        </w:tabs>
        <w:rPr>
          <w:rFonts w:ascii="Times New Roman" w:hAnsi="Times New Roman" w:cs="Times New Roman"/>
          <w:b/>
          <w:bCs/>
          <w:sz w:val="24"/>
          <w:szCs w:val="24"/>
        </w:rPr>
      </w:pPr>
      <w:r>
        <w:rPr>
          <w:rFonts w:ascii="Times New Roman" w:hAnsi="Times New Roman" w:cs="Times New Roman"/>
          <w:b/>
          <w:bCs/>
          <w:sz w:val="24"/>
          <w:szCs w:val="24"/>
        </w:rPr>
        <w:tab/>
      </w:r>
    </w:p>
    <w:p w14:paraId="1FA8F9F4" w14:textId="77777777" w:rsidR="008E483B" w:rsidRDefault="008E483B" w:rsidP="008E483B">
      <w:pPr>
        <w:tabs>
          <w:tab w:val="left" w:pos="2415"/>
          <w:tab w:val="center" w:pos="4680"/>
        </w:tabs>
        <w:rPr>
          <w:rFonts w:ascii="Times New Roman" w:hAnsi="Times New Roman" w:cs="Times New Roman"/>
          <w:b/>
          <w:bCs/>
          <w:sz w:val="24"/>
          <w:szCs w:val="24"/>
        </w:rPr>
      </w:pPr>
    </w:p>
    <w:p w14:paraId="3089DB23" w14:textId="77777777" w:rsidR="008E483B" w:rsidRDefault="008E483B" w:rsidP="008E483B">
      <w:pPr>
        <w:tabs>
          <w:tab w:val="left" w:pos="2415"/>
          <w:tab w:val="center" w:pos="4680"/>
        </w:tabs>
        <w:rPr>
          <w:rFonts w:ascii="Times New Roman" w:hAnsi="Times New Roman" w:cs="Times New Roman"/>
          <w:b/>
          <w:bCs/>
          <w:sz w:val="24"/>
          <w:szCs w:val="24"/>
        </w:rPr>
      </w:pPr>
    </w:p>
    <w:p w14:paraId="33A88ADB" w14:textId="77777777" w:rsidR="008E483B" w:rsidRPr="008E483B" w:rsidRDefault="008E483B" w:rsidP="008E483B">
      <w:pPr>
        <w:tabs>
          <w:tab w:val="left" w:pos="2415"/>
          <w:tab w:val="center" w:pos="4680"/>
        </w:tabs>
        <w:jc w:val="center"/>
        <w:rPr>
          <w:rFonts w:ascii="Times New Roman" w:hAnsi="Times New Roman" w:cs="Times New Roman"/>
          <w:b/>
          <w:bCs/>
          <w:sz w:val="24"/>
          <w:szCs w:val="24"/>
          <w:u w:val="single"/>
        </w:rPr>
      </w:pPr>
      <w:r w:rsidRPr="008E483B">
        <w:rPr>
          <w:rFonts w:ascii="Times New Roman" w:hAnsi="Times New Roman" w:cs="Times New Roman"/>
          <w:b/>
          <w:bCs/>
          <w:sz w:val="24"/>
          <w:szCs w:val="24"/>
          <w:u w:val="single"/>
        </w:rPr>
        <w:t>MEMORANDUM IN SUPPORT OF MOTION TO STRIKE</w:t>
      </w:r>
    </w:p>
    <w:p w14:paraId="63E3D5CA" w14:textId="77777777" w:rsidR="008E483B" w:rsidRDefault="008E483B" w:rsidP="008E483B">
      <w:pPr>
        <w:pStyle w:val="ListParagraph"/>
        <w:numPr>
          <w:ilvl w:val="0"/>
          <w:numId w:val="1"/>
        </w:numPr>
        <w:spacing w:after="0" w:line="480" w:lineRule="auto"/>
        <w:rPr>
          <w:rFonts w:ascii="Times New Roman" w:hAnsi="Times New Roman" w:cs="Times New Roman"/>
          <w:sz w:val="24"/>
          <w:szCs w:val="24"/>
        </w:rPr>
      </w:pPr>
      <w:r w:rsidRPr="00644ACB">
        <w:rPr>
          <w:rFonts w:ascii="Times New Roman" w:hAnsi="Times New Roman" w:cs="Times New Roman"/>
          <w:b/>
          <w:bCs/>
          <w:sz w:val="24"/>
          <w:szCs w:val="24"/>
        </w:rPr>
        <w:t>Rule 8 (c)(1)</w:t>
      </w:r>
      <w:r w:rsidRPr="00644ACB">
        <w:rPr>
          <w:rFonts w:ascii="Times New Roman" w:hAnsi="Times New Roman" w:cs="Times New Roman"/>
          <w:sz w:val="24"/>
          <w:szCs w:val="24"/>
        </w:rPr>
        <w:t xml:space="preserve"> </w:t>
      </w:r>
      <w:r w:rsidRPr="00644ACB">
        <w:rPr>
          <w:rFonts w:ascii="Times New Roman" w:hAnsi="Times New Roman" w:cs="Times New Roman"/>
          <w:i/>
          <w:iCs/>
          <w:sz w:val="24"/>
          <w:szCs w:val="24"/>
        </w:rPr>
        <w:t>Affirmative Defenses</w:t>
      </w:r>
      <w:r w:rsidRPr="00644ACB">
        <w:rPr>
          <w:rFonts w:ascii="Times New Roman" w:hAnsi="Times New Roman" w:cs="Times New Roman"/>
          <w:sz w:val="24"/>
          <w:szCs w:val="24"/>
        </w:rPr>
        <w:t xml:space="preserve"> of the Federal Rules of Civil Procedure states, “</w:t>
      </w:r>
      <w:r w:rsidRPr="00644ACB">
        <w:rPr>
          <w:rFonts w:ascii="Times New Roman" w:hAnsi="Times New Roman" w:cs="Times New Roman"/>
          <w:i/>
          <w:iCs/>
          <w:sz w:val="24"/>
          <w:szCs w:val="24"/>
        </w:rPr>
        <w:t xml:space="preserve">In General. </w:t>
      </w:r>
      <w:r w:rsidRPr="00644ACB">
        <w:rPr>
          <w:rFonts w:ascii="Times New Roman" w:hAnsi="Times New Roman" w:cs="Times New Roman"/>
          <w:sz w:val="24"/>
          <w:szCs w:val="24"/>
        </w:rPr>
        <w:t>In responding to a pleading, a party must affirmatively state any avoidance or affirmative defense, including….</w:t>
      </w:r>
      <w:r w:rsidRPr="00644ACB">
        <w:rPr>
          <w:rFonts w:ascii="Times New Roman" w:hAnsi="Times New Roman" w:cs="Times New Roman"/>
          <w:b/>
          <w:bCs/>
          <w:sz w:val="24"/>
          <w:szCs w:val="24"/>
        </w:rPr>
        <w:t>statute of limitations</w:t>
      </w:r>
      <w:r w:rsidRPr="00644ACB">
        <w:rPr>
          <w:rFonts w:ascii="Times New Roman" w:hAnsi="Times New Roman" w:cs="Times New Roman"/>
          <w:sz w:val="24"/>
          <w:szCs w:val="24"/>
        </w:rPr>
        <w:t xml:space="preserve">” </w:t>
      </w:r>
    </w:p>
    <w:p w14:paraId="368D853E" w14:textId="082069E0" w:rsidR="008E483B" w:rsidRDefault="008E483B" w:rsidP="008E483B">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b/>
          <w:bCs/>
          <w:sz w:val="24"/>
          <w:szCs w:val="24"/>
        </w:rPr>
        <w:t xml:space="preserve">Rule 12(b) How to Present Defenses. </w:t>
      </w:r>
      <w:r>
        <w:rPr>
          <w:rFonts w:ascii="Times New Roman" w:hAnsi="Times New Roman" w:cs="Times New Roman"/>
          <w:sz w:val="24"/>
          <w:szCs w:val="24"/>
        </w:rPr>
        <w:t xml:space="preserve">Every defense to a claim for relief in any pleading must be asserted in the responsive pleading if one is required. But a party may assert the following defenses by </w:t>
      </w:r>
      <w:r w:rsidR="00CC5D9F">
        <w:rPr>
          <w:rFonts w:ascii="Times New Roman" w:hAnsi="Times New Roman" w:cs="Times New Roman"/>
          <w:sz w:val="24"/>
          <w:szCs w:val="24"/>
        </w:rPr>
        <w:t>motion</w:t>
      </w:r>
      <w:r>
        <w:rPr>
          <w:rFonts w:ascii="Times New Roman" w:hAnsi="Times New Roman" w:cs="Times New Roman"/>
          <w:sz w:val="24"/>
          <w:szCs w:val="24"/>
        </w:rPr>
        <w:t>:</w:t>
      </w:r>
    </w:p>
    <w:p w14:paraId="6E3D73B6" w14:textId="77777777" w:rsidR="008E483B" w:rsidRDefault="008E483B" w:rsidP="008E483B">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lack of subject-matter jurisdiction</w:t>
      </w:r>
    </w:p>
    <w:p w14:paraId="468D054D" w14:textId="77777777" w:rsidR="008E483B" w:rsidRDefault="008E483B" w:rsidP="008E483B">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lack of personal jurisdiction</w:t>
      </w:r>
    </w:p>
    <w:p w14:paraId="2B11424D" w14:textId="77777777" w:rsidR="008E483B" w:rsidRDefault="008E483B" w:rsidP="008E483B">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improper venue</w:t>
      </w:r>
    </w:p>
    <w:p w14:paraId="502949F4" w14:textId="77777777" w:rsidR="008E483B" w:rsidRDefault="008E483B" w:rsidP="008E483B">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insufficient process</w:t>
      </w:r>
    </w:p>
    <w:p w14:paraId="5B070881" w14:textId="77777777" w:rsidR="008E483B" w:rsidRDefault="008E483B" w:rsidP="008E483B">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insufficient service of process</w:t>
      </w:r>
    </w:p>
    <w:p w14:paraId="37DE2829" w14:textId="77777777" w:rsidR="008E483B" w:rsidRDefault="008E483B" w:rsidP="008E483B">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failure to state a claim upon which relief can be granted; and</w:t>
      </w:r>
    </w:p>
    <w:p w14:paraId="60B78AEE" w14:textId="77777777" w:rsidR="008E483B" w:rsidRDefault="008E483B" w:rsidP="008E483B">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failure to join a party under Rule 19. </w:t>
      </w:r>
    </w:p>
    <w:p w14:paraId="7C59A4B9" w14:textId="77777777" w:rsidR="008E483B" w:rsidRDefault="008E483B" w:rsidP="008E483B">
      <w:pPr>
        <w:pStyle w:val="ListParagraph"/>
        <w:spacing w:after="0" w:line="480" w:lineRule="auto"/>
        <w:rPr>
          <w:rFonts w:ascii="Times New Roman" w:hAnsi="Times New Roman" w:cs="Times New Roman"/>
          <w:sz w:val="24"/>
          <w:szCs w:val="24"/>
        </w:rPr>
      </w:pPr>
      <w:r>
        <w:rPr>
          <w:rFonts w:ascii="Times New Roman" w:hAnsi="Times New Roman" w:cs="Times New Roman"/>
          <w:sz w:val="24"/>
          <w:szCs w:val="24"/>
        </w:rPr>
        <w:t>A motion asserting any of these defenses must be made before pleading if a responsive pleading is allowed. If a pleading sets out a claim for relief that does not require a responsive pleading, an opposing party may assert at trial any defense to that claim. No defense or objection is waived by joining it with one or more other defenses or objections in a responsive pleading or in a motion.</w:t>
      </w:r>
    </w:p>
    <w:p w14:paraId="16114C5D" w14:textId="4D8386D6" w:rsidR="008E483B" w:rsidRPr="007C041A" w:rsidRDefault="008E483B" w:rsidP="008E483B">
      <w:pPr>
        <w:pStyle w:val="ListParagraph"/>
        <w:numPr>
          <w:ilvl w:val="0"/>
          <w:numId w:val="1"/>
        </w:numPr>
        <w:spacing w:after="0" w:line="480" w:lineRule="auto"/>
        <w:rPr>
          <w:rFonts w:ascii="Times New Roman" w:hAnsi="Times New Roman" w:cs="Times New Roman"/>
          <w:b/>
          <w:bCs/>
          <w:i/>
          <w:iCs/>
          <w:sz w:val="24"/>
          <w:szCs w:val="24"/>
        </w:rPr>
      </w:pPr>
      <w:r w:rsidRPr="007C041A">
        <w:rPr>
          <w:rFonts w:ascii="Times New Roman" w:hAnsi="Times New Roman" w:cs="Times New Roman"/>
          <w:sz w:val="24"/>
          <w:szCs w:val="24"/>
        </w:rPr>
        <w:t xml:space="preserve">The law is clear that affirmative defenses that are not timely pleaded are waived. </w:t>
      </w:r>
      <w:r w:rsidRPr="007C041A">
        <w:rPr>
          <w:rFonts w:ascii="Times New Roman" w:hAnsi="Times New Roman" w:cs="Times New Roman"/>
          <w:b/>
          <w:bCs/>
          <w:i/>
          <w:iCs/>
          <w:sz w:val="24"/>
          <w:szCs w:val="24"/>
        </w:rPr>
        <w:t>Bentley v. Cleveland County Board of Commissioners, 41 F.3d 600, 604 (10th Cir. 1994); Wolfenberger v. Williams, 826 F.2d 930, 932 (10th Cir. 1987); State Farm Mutual Auto. Ins. Co. v. Mid-Continent Casualty Co., 518 F.2d 292, 296 (10th Cir. 1975); Cummings v. Moore, 202 F.2d 145, 148 (10th Cir. 1953)</w:t>
      </w:r>
      <w:r w:rsidR="00B54941">
        <w:rPr>
          <w:rFonts w:ascii="Times New Roman" w:hAnsi="Times New Roman" w:cs="Times New Roman"/>
          <w:b/>
          <w:bCs/>
          <w:i/>
          <w:iCs/>
          <w:sz w:val="24"/>
          <w:szCs w:val="24"/>
        </w:rPr>
        <w:t xml:space="preserve"> </w:t>
      </w:r>
      <w:r w:rsidR="00B54941" w:rsidRPr="00B54941">
        <w:rPr>
          <w:rFonts w:ascii="Times New Roman" w:hAnsi="Times New Roman" w:cs="Times New Roman"/>
          <w:sz w:val="24"/>
          <w:szCs w:val="24"/>
        </w:rPr>
        <w:t xml:space="preserve">The purpose of requiring that affirmative defenses be raised in responsive pleadings is to prevent surprise and allow plaintiffs an opportunity for discovery. </w:t>
      </w:r>
      <w:r w:rsidR="00B54941" w:rsidRPr="00B54941">
        <w:rPr>
          <w:rFonts w:ascii="Times New Roman" w:hAnsi="Times New Roman" w:cs="Times New Roman"/>
          <w:b/>
          <w:bCs/>
          <w:i/>
          <w:iCs/>
          <w:sz w:val="24"/>
          <w:szCs w:val="24"/>
        </w:rPr>
        <w:t>See Blonder-Tongue Laboratories, Inc. v. University of Illinois Foundation, 402 U.S. 313, 350 (1971</w:t>
      </w:r>
      <w:r w:rsidR="00B54941" w:rsidRPr="00B54941">
        <w:rPr>
          <w:rFonts w:ascii="Times New Roman" w:hAnsi="Times New Roman" w:cs="Times New Roman"/>
          <w:sz w:val="24"/>
          <w:szCs w:val="24"/>
        </w:rPr>
        <w:t>). Defendants have long known the facts upon which they rest their estoppel defense, and raising the defense only at this late date is highly prejudicial to the United States. Accordingly, the defense should be stricken.</w:t>
      </w:r>
    </w:p>
    <w:p w14:paraId="3C78D848" w14:textId="77777777" w:rsidR="00A93279" w:rsidRDefault="00A93279"/>
    <w:sectPr w:rsidR="00A932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309E4"/>
    <w:multiLevelType w:val="hybridMultilevel"/>
    <w:tmpl w:val="B7640620"/>
    <w:lvl w:ilvl="0" w:tplc="628272C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6461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83B"/>
    <w:rsid w:val="001556FC"/>
    <w:rsid w:val="006F09FC"/>
    <w:rsid w:val="008E483B"/>
    <w:rsid w:val="00A93279"/>
    <w:rsid w:val="00B54941"/>
    <w:rsid w:val="00CC5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78BAB"/>
  <w15:chartTrackingRefBased/>
  <w15:docId w15:val="{604A4E28-F3C6-47B1-9691-71219F58F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83B"/>
    <w:pPr>
      <w:spacing w:after="200" w:line="276" w:lineRule="auto"/>
    </w:pPr>
    <w:rPr>
      <w:rFonts w:ascii="Adobe Caslon Pro" w:hAnsi="Adobe Caslon Pro"/>
      <w14:stylisticSets>
        <w14:styleSet w14:id="2"/>
      </w14:stylisticSe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8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341</Words>
  <Characters>1950</Characters>
  <Application>Microsoft Office Word</Application>
  <DocSecurity>0</DocSecurity>
  <Lines>16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2022-09-16T19:06:00Z</dcterms:created>
  <dcterms:modified xsi:type="dcterms:W3CDTF">2022-09-19T16:27:00Z</dcterms:modified>
</cp:coreProperties>
</file>